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63B51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物理与机电工程学院202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学年上学期普通</w:t>
      </w:r>
    </w:p>
    <w:p w14:paraId="73A204F6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本科学生转专业工作方案</w:t>
      </w:r>
    </w:p>
    <w:p w14:paraId="275143B5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26AE9220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物理与机电工程</w:t>
      </w:r>
      <w:r>
        <w:rPr>
          <w:rFonts w:hint="eastAsia" w:ascii="仿宋_GB2312" w:hAnsi="Calibri" w:eastAsia="仿宋_GB2312" w:cs="Times New Roman"/>
          <w:sz w:val="32"/>
          <w:szCs w:val="32"/>
        </w:rPr>
        <w:t>学院202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学期普通本科转专业工作方案，具体如下：</w:t>
      </w:r>
    </w:p>
    <w:p w14:paraId="4A085B2E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08302F6B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组长：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吴建兵、李莎</w:t>
      </w:r>
    </w:p>
    <w:p w14:paraId="60B83AF1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成员：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胡森、杨凯、王怀兴、汪川惠、王筠、张祖满、徐桂敏、陶军晖、曹秀英、田明艳、陈锦夫</w:t>
      </w:r>
    </w:p>
    <w:p w14:paraId="33353D1F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王晓路、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周蓓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706DF5B3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 w14:paraId="54C75215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符合学校教务处《关于202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学期普通本科学生转专业工作安排的通知》中规定申请转专业对象及条件要求。</w:t>
      </w:r>
    </w:p>
    <w:p w14:paraId="1F456508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 w14:paraId="5BBFE37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1.申请转入物理学、机械电子工程、光电信息科学与工程、电子信息科学与技术的学生，需要</w:t>
      </w:r>
      <w:r>
        <w:rPr>
          <w:rFonts w:hint="eastAsia" w:ascii="仿宋_GB2312" w:hAnsi="Calibri" w:eastAsia="仿宋_GB2312" w:cs="Times New Roman"/>
          <w:sz w:val="32"/>
          <w:szCs w:val="32"/>
        </w:rPr>
        <w:t>参加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物理与机电工程</w:t>
      </w:r>
      <w:r>
        <w:rPr>
          <w:rFonts w:hint="eastAsia" w:ascii="仿宋_GB2312" w:hAnsi="Calibri" w:eastAsia="仿宋_GB2312" w:cs="Times New Roman"/>
          <w:sz w:val="32"/>
          <w:szCs w:val="32"/>
        </w:rPr>
        <w:t>学院组织的转专业考核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 w:cs="Times New Roman"/>
          <w:sz w:val="32"/>
          <w:szCs w:val="32"/>
        </w:rPr>
        <w:t>学院采取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面试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50%+笔试50%</w:t>
      </w:r>
      <w:r>
        <w:rPr>
          <w:rFonts w:hint="eastAsia" w:ascii="仿宋_GB2312" w:hAnsi="Calibri" w:eastAsia="仿宋_GB2312" w:cs="Times New Roman"/>
          <w:sz w:val="32"/>
          <w:szCs w:val="32"/>
        </w:rPr>
        <w:t>的方式进行考核，成绩按总分排序，由高到低录取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。</w:t>
      </w:r>
    </w:p>
    <w:p w14:paraId="29D10227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2.申请转入材料物理专业的学生需要</w:t>
      </w:r>
      <w:r>
        <w:rPr>
          <w:rFonts w:hint="eastAsia" w:ascii="仿宋_GB2312" w:hAnsi="Calibri" w:eastAsia="仿宋_GB2312" w:cs="Times New Roman"/>
          <w:sz w:val="32"/>
          <w:szCs w:val="32"/>
        </w:rPr>
        <w:t>参加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物理与机电工程</w:t>
      </w:r>
      <w:r>
        <w:rPr>
          <w:rFonts w:hint="eastAsia" w:ascii="仿宋_GB2312" w:hAnsi="Calibri" w:eastAsia="仿宋_GB2312" w:cs="Times New Roman"/>
          <w:sz w:val="32"/>
          <w:szCs w:val="32"/>
        </w:rPr>
        <w:t>学院组织的转专业考核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 w:cs="Times New Roman"/>
          <w:sz w:val="32"/>
          <w:szCs w:val="32"/>
        </w:rPr>
        <w:t>学院采取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面试</w:t>
      </w:r>
      <w:r>
        <w:rPr>
          <w:rFonts w:hint="eastAsia" w:ascii="仿宋_GB2312" w:hAnsi="Calibri" w:eastAsia="仿宋_GB2312" w:cs="Times New Roman"/>
          <w:sz w:val="32"/>
          <w:szCs w:val="32"/>
        </w:rPr>
        <w:t>的方式进行考核，成绩按总分排序，由高到低录取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。</w:t>
      </w:r>
    </w:p>
    <w:p w14:paraId="22E9E44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 w14:paraId="32021405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 w14:paraId="3C19FB60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1.笔试内容：</w:t>
      </w:r>
    </w:p>
    <w:p w14:paraId="4A7D04AC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①物理学、光电信息科学与工程：</w:t>
      </w:r>
    </w:p>
    <w:p w14:paraId="3A4F6F8A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笔试内容：高中物理相关知识，闭卷笔试，总分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100分，考试时长为20分钟。</w:t>
      </w:r>
    </w:p>
    <w:p w14:paraId="64474AB7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②机械电子工程：</w:t>
      </w:r>
    </w:p>
    <w:p w14:paraId="745198B5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笔试内容：高等数学，闭卷笔试，总分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100分。</w:t>
      </w:r>
    </w:p>
    <w:p w14:paraId="6B7452B4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③电子信息科学与技术</w:t>
      </w:r>
    </w:p>
    <w:p w14:paraId="3DCE1C9A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笔试内容：高等数学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+高中物理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，闭卷笔试，总分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100分。</w:t>
      </w:r>
    </w:p>
    <w:p w14:paraId="293C3E19">
      <w:pPr>
        <w:numPr>
          <w:ilvl w:val="0"/>
          <w:numId w:val="0"/>
        </w:numPr>
        <w:spacing w:line="560" w:lineRule="exact"/>
        <w:ind w:firstLine="320" w:firstLineChars="100"/>
        <w:rPr>
          <w:rFonts w:hint="eastAsia"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面试内容：</w:t>
      </w:r>
    </w:p>
    <w:p w14:paraId="2BE319A2">
      <w:pPr>
        <w:numPr>
          <w:ilvl w:val="0"/>
          <w:numId w:val="0"/>
        </w:numPr>
        <w:spacing w:line="560" w:lineRule="exact"/>
        <w:ind w:left="480" w:leftChars="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①物理学：</w:t>
      </w:r>
    </w:p>
    <w:p w14:paraId="0DF84FC1">
      <w:pPr>
        <w:numPr>
          <w:ilvl w:val="0"/>
          <w:numId w:val="0"/>
        </w:numPr>
        <w:spacing w:line="560" w:lineRule="exact"/>
        <w:ind w:leftChars="100"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学生试讲：学生就笔试答题进行试讲，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重点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考查学生的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物理知识、科学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思维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语言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表达、板书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教师职业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综合能力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。</w:t>
      </w:r>
    </w:p>
    <w:p w14:paraId="4DE60205">
      <w:pPr>
        <w:numPr>
          <w:ilvl w:val="0"/>
          <w:numId w:val="0"/>
        </w:numPr>
        <w:spacing w:line="560" w:lineRule="exact"/>
        <w:ind w:leftChars="1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②其他专业：</w:t>
      </w:r>
    </w:p>
    <w:p w14:paraId="05298F7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学生陈述(高考情况，在原专业的学习、学习基础、主要优势等情况，申请转入我院的目的、志向，其他特长和能力等)。</w:t>
      </w:r>
    </w:p>
    <w:p w14:paraId="33EA061C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考核小组成员进行现场提问，考查学生的知识、思维和语言等综合表达能力，以及理想信念、学习态度等。</w:t>
      </w:r>
    </w:p>
    <w:p w14:paraId="46635962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面试总分100分，其中个人陈述不超过3分钟。除特长、优势的佐证材料外其他任何材料不得带入考场。</w:t>
      </w:r>
    </w:p>
    <w:p w14:paraId="29148EC5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79C72C48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按照公开、公平、公正、择优录取的原则，学院依据转专业考试成绩按分数从高到低排序，转专业工作小组依据计划对符合条件的学生进行审核后，确定拟录取名单，提交教务处审查后公示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。</w:t>
      </w:r>
    </w:p>
    <w:p w14:paraId="55A70FAE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02FBEF9D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 w14:paraId="28A11F9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 w14:paraId="57A2B358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咨询电话： 027-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52363352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</w:t>
      </w:r>
    </w:p>
    <w:p w14:paraId="0364A5C3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地点：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物理与机电工程教学办</w:t>
      </w:r>
    </w:p>
    <w:p w14:paraId="412CB18E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  </w:t>
      </w:r>
    </w:p>
    <w:p w14:paraId="009C9C73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 w14:paraId="7B170AB7"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物理与机电工程</w:t>
      </w:r>
      <w:r>
        <w:rPr>
          <w:rFonts w:hint="eastAsia" w:ascii="仿宋_GB2312" w:hAnsi="Calibri" w:eastAsia="仿宋_GB2312" w:cs="Times New Roman"/>
          <w:sz w:val="32"/>
          <w:szCs w:val="32"/>
        </w:rPr>
        <w:t>学院</w:t>
      </w:r>
    </w:p>
    <w:p w14:paraId="173887FF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168E78FF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530C26BB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625BC667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2A69BD2E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7B9A6445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6550724F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5E041E1B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13155D9A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20D19A40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6CCA88C6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1094DBB3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6D82BC66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7FEF4D82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50A4C164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p w14:paraId="45650D89">
      <w:pPr>
        <w:adjustRightInd w:val="0"/>
        <w:snapToGrid w:val="0"/>
        <w:rPr>
          <w:rFonts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080" w:bottom="1440" w:left="108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5EF0D04F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59B20858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38A183FC">
        <w:pPr>
          <w:pStyle w:val="7"/>
        </w:pPr>
        <w:r>
          <w:rPr>
            <w:rFonts w:hint="eastAsia"/>
            <w:lang w:val="en-US" w:eastAsia="zh-CN"/>
          </w:rPr>
          <w:t xml:space="preserve">                                                                                              </w:t>
        </w: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797E028A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NjJhMTg2OGE1MmUwNDRkNDM4ZWZlNzYzNTA3NDQifQ=="/>
  </w:docVars>
  <w:rsids>
    <w:rsidRoot w:val="004F4CEF"/>
    <w:rsid w:val="000676C2"/>
    <w:rsid w:val="00075874"/>
    <w:rsid w:val="00083BF1"/>
    <w:rsid w:val="000D1293"/>
    <w:rsid w:val="001315D9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F3B4F"/>
    <w:rsid w:val="025623F8"/>
    <w:rsid w:val="03197BAC"/>
    <w:rsid w:val="03726617"/>
    <w:rsid w:val="03F06728"/>
    <w:rsid w:val="0438160E"/>
    <w:rsid w:val="0530758E"/>
    <w:rsid w:val="06AB382D"/>
    <w:rsid w:val="076F3599"/>
    <w:rsid w:val="07B216D8"/>
    <w:rsid w:val="0B0009AC"/>
    <w:rsid w:val="0D4234FE"/>
    <w:rsid w:val="0F2263D9"/>
    <w:rsid w:val="10F44B0F"/>
    <w:rsid w:val="116971D2"/>
    <w:rsid w:val="12497636"/>
    <w:rsid w:val="133E0D3B"/>
    <w:rsid w:val="13741F37"/>
    <w:rsid w:val="137C187F"/>
    <w:rsid w:val="13E718C7"/>
    <w:rsid w:val="172123D6"/>
    <w:rsid w:val="17FD699F"/>
    <w:rsid w:val="18075128"/>
    <w:rsid w:val="180C0990"/>
    <w:rsid w:val="18D92F68"/>
    <w:rsid w:val="19357A15"/>
    <w:rsid w:val="197E3621"/>
    <w:rsid w:val="1991739F"/>
    <w:rsid w:val="19B258BE"/>
    <w:rsid w:val="1A312930"/>
    <w:rsid w:val="1A8A52DB"/>
    <w:rsid w:val="1A9F3D3E"/>
    <w:rsid w:val="1AEB1A56"/>
    <w:rsid w:val="1BD619E1"/>
    <w:rsid w:val="1CCE0005"/>
    <w:rsid w:val="1DF4614E"/>
    <w:rsid w:val="20A51982"/>
    <w:rsid w:val="215951FA"/>
    <w:rsid w:val="253961E1"/>
    <w:rsid w:val="258B7398"/>
    <w:rsid w:val="25983863"/>
    <w:rsid w:val="26347A30"/>
    <w:rsid w:val="28D42E04"/>
    <w:rsid w:val="28DF567B"/>
    <w:rsid w:val="29916893"/>
    <w:rsid w:val="2A1D6A2D"/>
    <w:rsid w:val="2A4C2445"/>
    <w:rsid w:val="2B2661C9"/>
    <w:rsid w:val="2C4E6178"/>
    <w:rsid w:val="2E371BDB"/>
    <w:rsid w:val="2E56075F"/>
    <w:rsid w:val="2EB6204B"/>
    <w:rsid w:val="2FD45DE0"/>
    <w:rsid w:val="30164E9F"/>
    <w:rsid w:val="307C219A"/>
    <w:rsid w:val="31BE0AF5"/>
    <w:rsid w:val="32881493"/>
    <w:rsid w:val="32A55268"/>
    <w:rsid w:val="33671ECE"/>
    <w:rsid w:val="341E1EB3"/>
    <w:rsid w:val="34A855CD"/>
    <w:rsid w:val="351D3B8C"/>
    <w:rsid w:val="35DC154A"/>
    <w:rsid w:val="39730417"/>
    <w:rsid w:val="3AB72586"/>
    <w:rsid w:val="3B353524"/>
    <w:rsid w:val="3B7F30A4"/>
    <w:rsid w:val="3B9D5939"/>
    <w:rsid w:val="3BB371F1"/>
    <w:rsid w:val="3C0D4B53"/>
    <w:rsid w:val="3C950D5E"/>
    <w:rsid w:val="3DEC0798"/>
    <w:rsid w:val="3E5054C9"/>
    <w:rsid w:val="3E622809"/>
    <w:rsid w:val="3EFD7821"/>
    <w:rsid w:val="407231D7"/>
    <w:rsid w:val="4081166C"/>
    <w:rsid w:val="41225A14"/>
    <w:rsid w:val="41601281"/>
    <w:rsid w:val="425E5AE9"/>
    <w:rsid w:val="42875EB8"/>
    <w:rsid w:val="43106CD7"/>
    <w:rsid w:val="438C17A7"/>
    <w:rsid w:val="448D4A83"/>
    <w:rsid w:val="45350C77"/>
    <w:rsid w:val="45863281"/>
    <w:rsid w:val="45A04AC7"/>
    <w:rsid w:val="45AE6370"/>
    <w:rsid w:val="461B7E6D"/>
    <w:rsid w:val="4957740E"/>
    <w:rsid w:val="49B04D70"/>
    <w:rsid w:val="4AD55B62"/>
    <w:rsid w:val="4CF03E01"/>
    <w:rsid w:val="4F0243EF"/>
    <w:rsid w:val="4F043B94"/>
    <w:rsid w:val="4F147B4F"/>
    <w:rsid w:val="512603A5"/>
    <w:rsid w:val="525A1D1D"/>
    <w:rsid w:val="53F1045F"/>
    <w:rsid w:val="55C44D6A"/>
    <w:rsid w:val="56494582"/>
    <w:rsid w:val="56B7773E"/>
    <w:rsid w:val="56F8459B"/>
    <w:rsid w:val="578F06BB"/>
    <w:rsid w:val="57BD7351"/>
    <w:rsid w:val="58B57CAD"/>
    <w:rsid w:val="58FE1654"/>
    <w:rsid w:val="5A0A4028"/>
    <w:rsid w:val="5A4F287A"/>
    <w:rsid w:val="5C904CB9"/>
    <w:rsid w:val="5CD5417F"/>
    <w:rsid w:val="5D604977"/>
    <w:rsid w:val="5E3B4562"/>
    <w:rsid w:val="5EA913CF"/>
    <w:rsid w:val="5EF95229"/>
    <w:rsid w:val="5F5C0E82"/>
    <w:rsid w:val="60310561"/>
    <w:rsid w:val="62976675"/>
    <w:rsid w:val="649127C0"/>
    <w:rsid w:val="64E8140A"/>
    <w:rsid w:val="651537DC"/>
    <w:rsid w:val="65AA232D"/>
    <w:rsid w:val="6615622F"/>
    <w:rsid w:val="667B0788"/>
    <w:rsid w:val="67DC5256"/>
    <w:rsid w:val="68F16ADF"/>
    <w:rsid w:val="69456E2B"/>
    <w:rsid w:val="69BF180F"/>
    <w:rsid w:val="6A002D52"/>
    <w:rsid w:val="6A553B3B"/>
    <w:rsid w:val="6A8B4D12"/>
    <w:rsid w:val="6BA90547"/>
    <w:rsid w:val="6DEA710E"/>
    <w:rsid w:val="6EEB3FD1"/>
    <w:rsid w:val="704B6617"/>
    <w:rsid w:val="708E730A"/>
    <w:rsid w:val="717C3606"/>
    <w:rsid w:val="71DC4AA8"/>
    <w:rsid w:val="71F80EDE"/>
    <w:rsid w:val="721158F9"/>
    <w:rsid w:val="726522EC"/>
    <w:rsid w:val="72B017B9"/>
    <w:rsid w:val="75073A15"/>
    <w:rsid w:val="768F54C5"/>
    <w:rsid w:val="789A3859"/>
    <w:rsid w:val="79990294"/>
    <w:rsid w:val="7A552C46"/>
    <w:rsid w:val="7C3B7D63"/>
    <w:rsid w:val="7CCF2FEE"/>
    <w:rsid w:val="7CE254FF"/>
    <w:rsid w:val="7E680874"/>
    <w:rsid w:val="7F007624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1105</Words>
  <Characters>1188</Characters>
  <Lines>13</Lines>
  <Paragraphs>3</Paragraphs>
  <TotalTime>5</TotalTime>
  <ScaleCrop>false</ScaleCrop>
  <LinksUpToDate>false</LinksUpToDate>
  <CharactersWithSpaces>1344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2022-11-16T08:51:00Z</cp:lastPrinted>
  <dcterms:modified xsi:type="dcterms:W3CDTF">2024-11-27T00:39:21Z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B62265CF1B314CD0BB1C4F44D8B7126A_13</vt:lpwstr>
  </property>
</Properties>
</file>