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计算机学院2023-2024学年下学期普通本科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根据学校《关于2023-2024学年下学期普通本科学生转专业工作安排的通知》的精神，现制定计算机学院2023级学生第二次转专业工作方案，具体如下：</w:t>
      </w:r>
    </w:p>
    <w:p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一、转专业工作小组成员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组长：陈 宇 杨 莉 杨 鹤 王海军 余良俊 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成员：各专业负责人 学工办主任 辅导员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秘书：万 洁</w:t>
      </w:r>
    </w:p>
    <w:p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二、转专业对象及条件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符合学校教务处《关于2023-2024学年下学期普通本科学生转专业工作安排的通知》中规定申请转专业对象及条件要求。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重要提示：</w:t>
      </w: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申请转入</w:t>
      </w: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计算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机科学与技术、计算机科学与技术（中外合作办学）、软件工程、数据科学与大数据技术、人工智能专业的学生必须补修：高等数学A、大学物理A、高级语言程序设计等相关专业课程。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申请转入教育技术学：补修高等数学B、高级语言程序设计等相关专</w:t>
      </w:r>
      <w:bookmarkStart w:id="0" w:name="_GoBack"/>
      <w:bookmarkEnd w:id="0"/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业课程。）</w:t>
      </w:r>
    </w:p>
    <w:p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三、转专业考核方式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1.申请转入计算机科学与技术、软件工程、数据科学与大数据技术、人工智能专业的学生，必须参加学院组织的转专业考核，考核采取专业课机试+综合面试各占50%形式进行。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2.申请转入教育技术学、计算机科学与技术（中外合作办学班）的学生，必须参加学院组织的专业面试+综合面试各占50%形式进行。</w:t>
      </w:r>
    </w:p>
    <w:p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四、转专业考核内容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1.机考内容：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(1)机考考试科目为《高级语言程序设计》，考试内容为C语言的基础知识和基本编程能力，考试时间为120分钟，总分为100分。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(2)参考教材为：C 高级语言程序设计 谭浩强 第五版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2.面试内容：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(1)学生陈述(高考情况，在原专业的学习、学习基础、主要优势等情况，申请转入我院的目的、志向，其他特长和能力等)。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五、录取原则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六、工作程序及时间安排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按照教务处《关于2023-2024学年下学期普通本科学生转专业工作安排的通知》办理程序及时间安排进行。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七、咨询电话、地点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咨询电话： 027- 52104764  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地点： 计算机学院10号楼三楼教学科研办公室</w:t>
      </w: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  <w:r>
        <w:rPr>
          <w:rFonts w:hint="eastAsia" w:ascii="等线" w:hAnsi="等线" w:eastAsia="等线" w:cs="Times New Roman"/>
          <w:sz w:val="32"/>
          <w:szCs w:val="32"/>
        </w:rPr>
        <w:t xml:space="preserve">     </w:t>
      </w: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  <w:r>
        <w:rPr>
          <w:rFonts w:hint="eastAsia" w:ascii="等线" w:hAnsi="等线" w:eastAsia="等线" w:cs="Times New Roman"/>
          <w:sz w:val="32"/>
          <w:szCs w:val="32"/>
        </w:rPr>
        <w:t xml:space="preserve">           </w:t>
      </w:r>
    </w:p>
    <w:p>
      <w:pPr>
        <w:spacing w:line="560" w:lineRule="exact"/>
        <w:ind w:firstLine="640" w:firstLineChars="200"/>
        <w:jc w:val="center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计算机学院</w:t>
      </w:r>
    </w:p>
    <w:p>
      <w:pPr>
        <w:spacing w:line="560" w:lineRule="exact"/>
        <w:jc w:val="both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2024年6月5日</w:t>
      </w: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>
      <w:pPr>
        <w:adjustRightInd w:val="0"/>
        <w:snapToGrid w:val="0"/>
        <w:rPr>
          <w:rFonts w:ascii="等线" w:hAnsi="等线" w:eastAsia="等线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0E4203"/>
    <w:rsid w:val="00116208"/>
    <w:rsid w:val="001315D9"/>
    <w:rsid w:val="0016248D"/>
    <w:rsid w:val="00163071"/>
    <w:rsid w:val="00183363"/>
    <w:rsid w:val="00197F4C"/>
    <w:rsid w:val="001B7EA7"/>
    <w:rsid w:val="001E760B"/>
    <w:rsid w:val="00214E51"/>
    <w:rsid w:val="002770C3"/>
    <w:rsid w:val="002B0A2B"/>
    <w:rsid w:val="00354846"/>
    <w:rsid w:val="00363F4C"/>
    <w:rsid w:val="003702C2"/>
    <w:rsid w:val="003A2BEB"/>
    <w:rsid w:val="003F3F72"/>
    <w:rsid w:val="004001EF"/>
    <w:rsid w:val="004354B7"/>
    <w:rsid w:val="004450C9"/>
    <w:rsid w:val="004525D7"/>
    <w:rsid w:val="004A233D"/>
    <w:rsid w:val="004B03BD"/>
    <w:rsid w:val="004F4CEF"/>
    <w:rsid w:val="0052412A"/>
    <w:rsid w:val="005A79B6"/>
    <w:rsid w:val="005B5409"/>
    <w:rsid w:val="005F4201"/>
    <w:rsid w:val="005F65A3"/>
    <w:rsid w:val="006164E3"/>
    <w:rsid w:val="00636401"/>
    <w:rsid w:val="00666E9D"/>
    <w:rsid w:val="00673456"/>
    <w:rsid w:val="006F5376"/>
    <w:rsid w:val="00730F5C"/>
    <w:rsid w:val="00756524"/>
    <w:rsid w:val="00795829"/>
    <w:rsid w:val="007A1555"/>
    <w:rsid w:val="0082615E"/>
    <w:rsid w:val="0087652B"/>
    <w:rsid w:val="00880088"/>
    <w:rsid w:val="008C5C06"/>
    <w:rsid w:val="008D706C"/>
    <w:rsid w:val="008F732C"/>
    <w:rsid w:val="00920D8B"/>
    <w:rsid w:val="0092184E"/>
    <w:rsid w:val="009435BC"/>
    <w:rsid w:val="00945A6A"/>
    <w:rsid w:val="0095269C"/>
    <w:rsid w:val="009737E1"/>
    <w:rsid w:val="009A4E72"/>
    <w:rsid w:val="009B3CD5"/>
    <w:rsid w:val="00A25105"/>
    <w:rsid w:val="00A34C53"/>
    <w:rsid w:val="00A81288"/>
    <w:rsid w:val="00B21491"/>
    <w:rsid w:val="00B53653"/>
    <w:rsid w:val="00B65D28"/>
    <w:rsid w:val="00B76ED5"/>
    <w:rsid w:val="00B85C14"/>
    <w:rsid w:val="00BA0F9C"/>
    <w:rsid w:val="00BC152D"/>
    <w:rsid w:val="00BC7FE8"/>
    <w:rsid w:val="00C00B18"/>
    <w:rsid w:val="00C3561F"/>
    <w:rsid w:val="00C41CA1"/>
    <w:rsid w:val="00CD08CD"/>
    <w:rsid w:val="00CE34ED"/>
    <w:rsid w:val="00D05C37"/>
    <w:rsid w:val="00D20988"/>
    <w:rsid w:val="00D22E8B"/>
    <w:rsid w:val="00D23919"/>
    <w:rsid w:val="00D86C5C"/>
    <w:rsid w:val="00DA59BC"/>
    <w:rsid w:val="00E14B36"/>
    <w:rsid w:val="00E2358D"/>
    <w:rsid w:val="00EC2E0C"/>
    <w:rsid w:val="00ED7C0A"/>
    <w:rsid w:val="00F1140B"/>
    <w:rsid w:val="00F77F3A"/>
    <w:rsid w:val="00FD7523"/>
    <w:rsid w:val="00FE1267"/>
    <w:rsid w:val="010F3B4F"/>
    <w:rsid w:val="0254169D"/>
    <w:rsid w:val="03197BAC"/>
    <w:rsid w:val="03F06728"/>
    <w:rsid w:val="0438160E"/>
    <w:rsid w:val="06AB382D"/>
    <w:rsid w:val="0F2263D9"/>
    <w:rsid w:val="116971D2"/>
    <w:rsid w:val="12497636"/>
    <w:rsid w:val="133E0D3B"/>
    <w:rsid w:val="13E718C7"/>
    <w:rsid w:val="18075128"/>
    <w:rsid w:val="19357A15"/>
    <w:rsid w:val="197E3621"/>
    <w:rsid w:val="1CCE0005"/>
    <w:rsid w:val="20A51982"/>
    <w:rsid w:val="215951FA"/>
    <w:rsid w:val="28DF567B"/>
    <w:rsid w:val="2A4C2445"/>
    <w:rsid w:val="2B2661C9"/>
    <w:rsid w:val="2E371BDB"/>
    <w:rsid w:val="2EB6204B"/>
    <w:rsid w:val="32881493"/>
    <w:rsid w:val="32A55268"/>
    <w:rsid w:val="341E1EB3"/>
    <w:rsid w:val="351D3B8C"/>
    <w:rsid w:val="3A29508D"/>
    <w:rsid w:val="3AB72586"/>
    <w:rsid w:val="3B353524"/>
    <w:rsid w:val="3B7F30A4"/>
    <w:rsid w:val="3B9D5939"/>
    <w:rsid w:val="3EFD7821"/>
    <w:rsid w:val="41225A14"/>
    <w:rsid w:val="425E5AE9"/>
    <w:rsid w:val="438C17A7"/>
    <w:rsid w:val="45A04AC7"/>
    <w:rsid w:val="45AE6370"/>
    <w:rsid w:val="49B04D70"/>
    <w:rsid w:val="4AD55B62"/>
    <w:rsid w:val="4F0243EF"/>
    <w:rsid w:val="512603A5"/>
    <w:rsid w:val="55C44D6A"/>
    <w:rsid w:val="56B7773E"/>
    <w:rsid w:val="57BD7351"/>
    <w:rsid w:val="5CD5417F"/>
    <w:rsid w:val="5D604977"/>
    <w:rsid w:val="5EA913CF"/>
    <w:rsid w:val="5EF95229"/>
    <w:rsid w:val="649127C0"/>
    <w:rsid w:val="651537DC"/>
    <w:rsid w:val="65AA232D"/>
    <w:rsid w:val="6A553B3B"/>
    <w:rsid w:val="6D8E080C"/>
    <w:rsid w:val="721158F9"/>
    <w:rsid w:val="75073A15"/>
    <w:rsid w:val="768F54C5"/>
    <w:rsid w:val="79990294"/>
    <w:rsid w:val="7C3B7D63"/>
    <w:rsid w:val="7CCF2FEE"/>
    <w:rsid w:val="7CE254FF"/>
    <w:rsid w:val="7E680874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字符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881</Words>
  <Characters>954</Characters>
  <Lines>10</Lines>
  <Paragraphs>2</Paragraphs>
  <TotalTime>64</TotalTime>
  <ScaleCrop>false</ScaleCrop>
  <LinksUpToDate>false</LinksUpToDate>
  <CharactersWithSpaces>1068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2024-06-04T01:07:00Z</dcterms:created>
  <dc:creator>姜自芳</dc:creator>
  <cp:lastModifiedBy>邱晏华</cp:lastModifiedBy>
  <cp:lastPrinted>2024-06-04T02:04:00Z</cp:lastPrinted>
  <dcterms:modified xsi:type="dcterms:W3CDTF">2024-06-07T06:22:30Z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65F41B981C804184AC1D77A376F2B22F_13</vt:lpwstr>
  </property>
</Properties>
</file>