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89" w:rsidRDefault="005322E0">
      <w:pPr>
        <w:spacing w:before="13"/>
        <w:ind w:left="12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附件</w:t>
      </w:r>
      <w:r>
        <w:rPr>
          <w:rFonts w:ascii="黑体" w:eastAsia="黑体" w:hAnsi="黑体" w:cs="黑体"/>
          <w:sz w:val="24"/>
          <w:szCs w:val="24"/>
          <w:lang w:eastAsia="zh-CN"/>
        </w:rPr>
        <w:t>1</w:t>
      </w:r>
      <w:r>
        <w:rPr>
          <w:rFonts w:ascii="黑体" w:eastAsia="黑体" w:hAnsi="黑体" w:cs="黑体"/>
          <w:sz w:val="24"/>
          <w:szCs w:val="24"/>
          <w:lang w:eastAsia="zh-CN"/>
        </w:rPr>
        <w:t>：</w:t>
      </w:r>
    </w:p>
    <w:p w:rsidR="00195F89" w:rsidRDefault="005322E0">
      <w:pPr>
        <w:pStyle w:val="a3"/>
        <w:ind w:left="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混合式教学设计创新大赛评审标准</w:t>
      </w:r>
    </w:p>
    <w:p w:rsidR="00195F89" w:rsidRDefault="00195F89">
      <w:pPr>
        <w:spacing w:before="11"/>
        <w:rPr>
          <w:rFonts w:ascii="黑体" w:eastAsia="黑体" w:hAnsi="黑体" w:cs="黑体"/>
          <w:lang w:eastAsia="zh-CN"/>
        </w:rPr>
      </w:pPr>
    </w:p>
    <w:tbl>
      <w:tblPr>
        <w:tblStyle w:val="TableNormal"/>
        <w:tblW w:w="5000" w:type="pct"/>
        <w:tblInd w:w="0" w:type="dxa"/>
        <w:tblLook w:val="04A0" w:firstRow="1" w:lastRow="0" w:firstColumn="1" w:lastColumn="0" w:noHBand="0" w:noVBand="1"/>
      </w:tblPr>
      <w:tblGrid>
        <w:gridCol w:w="2090"/>
        <w:gridCol w:w="6232"/>
      </w:tblGrid>
      <w:tr w:rsidR="00195F89">
        <w:trPr>
          <w:trHeight w:hRule="exact" w:val="574"/>
        </w:trPr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ind w:left="119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ind w:left="117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细则</w:t>
            </w:r>
          </w:p>
        </w:tc>
      </w:tr>
      <w:tr w:rsidR="00195F89">
        <w:trPr>
          <w:trHeight w:hRule="exact" w:val="511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195F89" w:rsidRDefault="005322E0">
            <w:pPr>
              <w:pStyle w:val="TableParagraph"/>
              <w:ind w:left="239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学情与目标</w:t>
            </w:r>
          </w:p>
        </w:tc>
      </w:tr>
      <w:tr w:rsidR="00195F89">
        <w:trPr>
          <w:trHeight w:hRule="exact" w:val="2273"/>
        </w:trPr>
        <w:tc>
          <w:tcPr>
            <w:tcW w:w="125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357" w:lineRule="auto"/>
              <w:ind w:left="124" w:right="89"/>
              <w:jc w:val="both"/>
              <w:rPr>
                <w:rFonts w:ascii="仿宋_GB2312" w:eastAsia="仿宋_GB2312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pacing w:val="3"/>
                <w:sz w:val="24"/>
                <w:szCs w:val="24"/>
                <w:lang w:eastAsia="zh-CN"/>
              </w:rPr>
              <w:t>根据课程目标，结</w:t>
            </w:r>
            <w:r>
              <w:rPr>
                <w:rFonts w:ascii="仿宋_GB2312" w:eastAsia="仿宋_GB2312" w:hAnsi="仿宋" w:cs="仿宋" w:hint="eastAsia"/>
                <w:spacing w:val="-25"/>
                <w:sz w:val="24"/>
                <w:szCs w:val="24"/>
                <w:lang w:eastAsia="zh-CN"/>
              </w:rPr>
              <w:t>合准确的学情分析，</w:t>
            </w:r>
            <w:r>
              <w:rPr>
                <w:rFonts w:ascii="仿宋_GB2312" w:eastAsia="仿宋_GB2312" w:hAnsi="仿宋" w:cs="仿宋" w:hint="eastAsia"/>
                <w:spacing w:val="2"/>
                <w:sz w:val="24"/>
                <w:szCs w:val="24"/>
                <w:lang w:eastAsia="zh-CN"/>
              </w:rPr>
              <w:t>描述学生在课程结</w:t>
            </w:r>
            <w:r>
              <w:rPr>
                <w:rFonts w:ascii="仿宋_GB2312" w:eastAsia="仿宋_GB2312" w:hAnsi="仿宋" w:cs="仿宋" w:hint="eastAsia"/>
                <w:spacing w:val="3"/>
                <w:sz w:val="24"/>
                <w:szCs w:val="24"/>
                <w:lang w:eastAsia="zh-CN"/>
              </w:rPr>
              <w:t>束后能够达成的教</w:t>
            </w:r>
            <w:r>
              <w:rPr>
                <w:rFonts w:ascii="仿宋_GB2312" w:eastAsia="仿宋_GB2312" w:hAnsi="仿宋" w:cs="仿宋" w:hint="eastAsia"/>
                <w:spacing w:val="-7"/>
                <w:sz w:val="24"/>
                <w:szCs w:val="24"/>
                <w:lang w:eastAsia="zh-CN"/>
              </w:rPr>
              <w:t>学要求。</w:t>
            </w: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273" w:lineRule="auto"/>
              <w:ind w:left="119" w:right="96" w:firstLine="12"/>
              <w:jc w:val="both"/>
              <w:rPr>
                <w:rFonts w:ascii="仿宋_GB2312" w:eastAsia="仿宋_GB2312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1.1</w:t>
            </w:r>
            <w:r>
              <w:rPr>
                <w:rFonts w:ascii="仿宋_GB2312" w:eastAsia="仿宋_GB2312" w:hAnsi="仿宋" w:cs="仿宋" w:hint="eastAsia"/>
                <w:spacing w:val="-7"/>
                <w:sz w:val="24"/>
                <w:szCs w:val="24"/>
                <w:lang w:eastAsia="zh-CN"/>
              </w:rPr>
              <w:t>阐述课程目标如何</w:t>
            </w:r>
            <w:r>
              <w:rPr>
                <w:rFonts w:ascii="仿宋_GB2312" w:eastAsia="仿宋_GB2312" w:hAnsi="仿宋" w:cs="仿宋" w:hint="eastAsia"/>
                <w:spacing w:val="-7"/>
                <w:sz w:val="24"/>
                <w:szCs w:val="24"/>
                <w:lang w:eastAsia="zh-CN"/>
              </w:rPr>
              <w:t>贴合</w:t>
            </w:r>
            <w:r>
              <w:rPr>
                <w:rFonts w:ascii="仿宋_GB2312" w:eastAsia="仿宋_GB2312" w:hAnsi="仿宋" w:cs="仿宋" w:hint="eastAsia"/>
                <w:spacing w:val="-7"/>
                <w:sz w:val="24"/>
                <w:szCs w:val="24"/>
                <w:lang w:eastAsia="zh-CN"/>
              </w:rPr>
              <w:t>本校办学定位和专业人才培养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目标，价值塑造、知识传授、能力培养等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如何有机融合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。结合课程特点</w:t>
            </w:r>
            <w:bookmarkStart w:id="0" w:name="_GoBack"/>
            <w:bookmarkEnd w:id="0"/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和学生实际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深入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挖掘课程思政元素，并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自然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融入所选教学节次当中，能体现出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盐溶于水般的课程育人</w:t>
            </w:r>
            <w:r>
              <w:rPr>
                <w:rFonts w:ascii="仿宋_GB2312" w:eastAsia="仿宋_GB2312" w:hAnsi="仿宋" w:cs="仿宋" w:hint="eastAsia"/>
                <w:spacing w:val="-5"/>
                <w:sz w:val="24"/>
                <w:szCs w:val="24"/>
                <w:lang w:eastAsia="zh-CN"/>
              </w:rPr>
              <w:t>，在教学内容、过程和评价等</w:t>
            </w:r>
            <w:r>
              <w:rPr>
                <w:rFonts w:ascii="仿宋_GB2312" w:eastAsia="仿宋_GB2312" w:hAnsi="仿宋" w:cs="仿宋" w:hint="eastAsia"/>
                <w:spacing w:val="-3"/>
                <w:sz w:val="24"/>
                <w:szCs w:val="24"/>
                <w:lang w:eastAsia="zh-CN"/>
              </w:rPr>
              <w:t>方面有</w:t>
            </w:r>
            <w:r>
              <w:rPr>
                <w:rFonts w:ascii="仿宋_GB2312" w:eastAsia="仿宋_GB2312" w:hAnsi="仿宋" w:cs="仿宋" w:hint="eastAsia"/>
                <w:spacing w:val="-3"/>
                <w:sz w:val="24"/>
                <w:szCs w:val="24"/>
                <w:lang w:eastAsia="zh-CN"/>
              </w:rPr>
              <w:t>良好的实施效果</w:t>
            </w:r>
            <w:r>
              <w:rPr>
                <w:rFonts w:ascii="仿宋_GB2312" w:eastAsia="仿宋_GB2312" w:hAnsi="仿宋" w:cs="仿宋" w:hint="eastAsia"/>
                <w:spacing w:val="-3"/>
                <w:sz w:val="24"/>
                <w:szCs w:val="24"/>
                <w:lang w:eastAsia="zh-CN"/>
              </w:rPr>
              <w:t>。</w:t>
            </w:r>
          </w:p>
        </w:tc>
      </w:tr>
      <w:tr w:rsidR="00195F89">
        <w:trPr>
          <w:trHeight w:hRule="exact" w:val="1253"/>
        </w:trPr>
        <w:tc>
          <w:tcPr>
            <w:tcW w:w="1256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273" w:lineRule="auto"/>
              <w:ind w:left="124" w:right="92" w:firstLine="7"/>
              <w:rPr>
                <w:rFonts w:ascii="仿宋_GB2312" w:eastAsia="仿宋_GB2312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1.2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eastAsia="zh-CN"/>
              </w:rPr>
              <w:t>结合课程特点</w:t>
            </w:r>
            <w:r>
              <w:rPr>
                <w:rFonts w:ascii="仿宋_GB2312" w:eastAsia="仿宋_GB2312" w:hAnsi="仿宋" w:cs="仿宋" w:hint="eastAsia"/>
                <w:spacing w:val="-10"/>
                <w:sz w:val="24"/>
                <w:szCs w:val="24"/>
                <w:lang w:eastAsia="zh-CN"/>
              </w:rPr>
              <w:t>准确描述课程总体目标与所选教学节次教学目标，内</w:t>
            </w:r>
            <w:r>
              <w:rPr>
                <w:rFonts w:ascii="仿宋_GB2312" w:eastAsia="仿宋_GB2312" w:hAnsi="仿宋" w:cs="仿宋" w:hint="eastAsia"/>
                <w:spacing w:val="-14"/>
                <w:sz w:val="24"/>
                <w:szCs w:val="24"/>
                <w:lang w:eastAsia="zh-CN"/>
              </w:rPr>
              <w:t>容具体，逻辑清晰，能够体现如何通过考核来检验教学的有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效性。</w:t>
            </w:r>
          </w:p>
        </w:tc>
      </w:tr>
      <w:tr w:rsidR="00195F89">
        <w:trPr>
          <w:trHeight w:hRule="exact" w:val="1253"/>
        </w:trPr>
        <w:tc>
          <w:tcPr>
            <w:tcW w:w="12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273" w:lineRule="auto"/>
              <w:ind w:left="127" w:right="92" w:firstLine="4"/>
              <w:jc w:val="both"/>
              <w:rPr>
                <w:rFonts w:ascii="仿宋_GB2312" w:eastAsia="仿宋_GB2312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1.3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基于教学目标对学情进行恰当分析，明确阐述所选教</w:t>
            </w:r>
            <w:r>
              <w:rPr>
                <w:rFonts w:ascii="仿宋_GB2312" w:eastAsia="仿宋_GB2312" w:hAnsi="仿宋" w:cs="仿宋" w:hint="eastAsia"/>
                <w:spacing w:val="5"/>
                <w:sz w:val="24"/>
                <w:szCs w:val="24"/>
                <w:lang w:eastAsia="zh-CN"/>
              </w:rPr>
              <w:t>学节次采用混合式教学改革需要解决的课堂教学真实问</w:t>
            </w:r>
            <w:r>
              <w:rPr>
                <w:rFonts w:ascii="仿宋_GB2312" w:eastAsia="仿宋_GB2312" w:hAnsi="仿宋" w:cs="仿宋" w:hint="eastAsia"/>
                <w:spacing w:val="-3"/>
                <w:sz w:val="24"/>
                <w:szCs w:val="24"/>
                <w:lang w:eastAsia="zh-CN"/>
              </w:rPr>
              <w:t>题。</w:t>
            </w:r>
          </w:p>
        </w:tc>
      </w:tr>
      <w:tr w:rsidR="00195F89">
        <w:trPr>
          <w:trHeight w:hRule="exact" w:val="523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195F89" w:rsidRDefault="005322E0">
            <w:pPr>
              <w:pStyle w:val="TableParagraph"/>
              <w:ind w:left="239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内容与资源</w:t>
            </w:r>
          </w:p>
        </w:tc>
      </w:tr>
      <w:tr w:rsidR="00195F89">
        <w:trPr>
          <w:trHeight w:hRule="exact" w:val="1140"/>
        </w:trPr>
        <w:tc>
          <w:tcPr>
            <w:tcW w:w="125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357" w:lineRule="auto"/>
              <w:ind w:left="124" w:right="98"/>
              <w:jc w:val="both"/>
              <w:rPr>
                <w:rFonts w:ascii="仿宋_GB2312" w:eastAsia="仿宋_GB2312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pacing w:val="2"/>
                <w:sz w:val="24"/>
                <w:szCs w:val="24"/>
                <w:lang w:eastAsia="zh-CN"/>
              </w:rPr>
              <w:t>围绕学习目标提供形式多样、逻辑清晰、线上线下划分</w:t>
            </w:r>
            <w:r>
              <w:rPr>
                <w:rFonts w:ascii="仿宋_GB2312" w:eastAsia="仿宋_GB2312" w:hAnsi="仿宋" w:cs="仿宋" w:hint="eastAsia"/>
                <w:spacing w:val="-4"/>
                <w:sz w:val="24"/>
                <w:szCs w:val="24"/>
                <w:lang w:eastAsia="zh-CN"/>
              </w:rPr>
              <w:t>合理的学习材料。</w:t>
            </w: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273" w:lineRule="auto"/>
              <w:ind w:left="127" w:right="92" w:firstLine="4"/>
              <w:jc w:val="both"/>
              <w:rPr>
                <w:rFonts w:ascii="仿宋_GB2312" w:eastAsia="仿宋_GB2312" w:hAnsi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2.1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强调以学生发展为中心，阐述引导学生达成学习目标的教学理念和教学路径，科学合理地选择和组织课程内容，凸显“两性一度”，充分体现混合式教学优势。</w:t>
            </w:r>
          </w:p>
        </w:tc>
      </w:tr>
      <w:tr w:rsidR="00195F89">
        <w:trPr>
          <w:trHeight w:hRule="exact" w:val="1704"/>
        </w:trPr>
        <w:tc>
          <w:tcPr>
            <w:tcW w:w="1256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273" w:lineRule="auto"/>
              <w:ind w:left="127" w:right="92" w:firstLine="4"/>
              <w:jc w:val="both"/>
              <w:rPr>
                <w:rFonts w:ascii="仿宋_GB2312" w:eastAsia="仿宋_GB2312" w:hAnsi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2.2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阐述教与学活动中使用各类教学平台、资源、工具的教学设计理由，体现恰当性、合理性和必要性；优先选择国家智慧教育公共服务平台中的优质资源（慕课、虚拟仿真资源、数字教材等），结合本校实际情况重构课程内容。</w:t>
            </w:r>
          </w:p>
        </w:tc>
      </w:tr>
      <w:tr w:rsidR="00195F89">
        <w:trPr>
          <w:trHeight w:hRule="exact" w:val="2400"/>
        </w:trPr>
        <w:tc>
          <w:tcPr>
            <w:tcW w:w="12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273" w:lineRule="auto"/>
              <w:ind w:left="127" w:right="92" w:firstLine="4"/>
              <w:jc w:val="both"/>
              <w:rPr>
                <w:rFonts w:ascii="仿宋_GB2312" w:eastAsia="仿宋_GB2312" w:hAnsi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2.3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内容与资源体现前沿性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时代性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和多样性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，体现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学思</w:t>
            </w:r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融合、产学融合、跨专业能力融合、项目实践融合等。本科课程聚焦新工科、新医科、新农科、新文科建设，加强基础学科人才培养，着力造就拔尖创新人才；高职课程聚焦</w:t>
            </w:r>
            <w:hyperlink r:id="rId6">
              <w:r>
                <w:rPr>
                  <w:rFonts w:ascii="仿宋_GB2312" w:eastAsia="仿宋_GB2312" w:hAnsi="仿宋" w:cs="仿宋" w:hint="eastAsia"/>
                  <w:spacing w:val="-6"/>
                  <w:sz w:val="24"/>
                  <w:szCs w:val="24"/>
                  <w:lang w:eastAsia="zh-CN"/>
                </w:rPr>
                <w:t>以职业能力为导向的</w:t>
              </w:r>
            </w:hyperlink>
            <w:r>
              <w:rPr>
                <w:rFonts w:ascii="仿宋_GB2312" w:eastAsia="仿宋_GB2312" w:hAnsi="仿宋" w:cs="仿宋" w:hint="eastAsia"/>
                <w:spacing w:val="-6"/>
                <w:sz w:val="24"/>
                <w:szCs w:val="24"/>
                <w:lang w:eastAsia="zh-CN"/>
              </w:rPr>
              <w:t>课程建设，强调工学结合，校企合作，深化“三教改革”，融入新技术、新工艺、新材料、新设备、新知识。</w:t>
            </w:r>
          </w:p>
        </w:tc>
      </w:tr>
    </w:tbl>
    <w:p w:rsidR="00195F89" w:rsidRDefault="00195F89">
      <w:pPr>
        <w:spacing w:line="273" w:lineRule="auto"/>
        <w:rPr>
          <w:rFonts w:ascii="仿宋" w:eastAsia="仿宋" w:hAnsi="仿宋" w:cs="仿宋"/>
          <w:sz w:val="24"/>
          <w:szCs w:val="24"/>
          <w:lang w:eastAsia="zh-CN"/>
        </w:rPr>
        <w:sectPr w:rsidR="00195F89">
          <w:footerReference w:type="default" r:id="rId7"/>
          <w:type w:val="continuous"/>
          <w:pgSz w:w="11910" w:h="16840"/>
          <w:pgMar w:top="1378" w:right="1797" w:bottom="1378" w:left="1797" w:header="720" w:footer="720" w:gutter="0"/>
          <w:cols w:space="720"/>
        </w:sectPr>
      </w:pPr>
    </w:p>
    <w:p w:rsidR="00195F89" w:rsidRDefault="00195F89">
      <w:pPr>
        <w:spacing w:before="3"/>
        <w:rPr>
          <w:rFonts w:ascii="黑体" w:eastAsia="黑体" w:hAnsi="黑体" w:cs="黑体"/>
          <w:sz w:val="6"/>
          <w:szCs w:val="6"/>
          <w:lang w:eastAsia="zh-CN"/>
        </w:rPr>
      </w:pPr>
    </w:p>
    <w:tbl>
      <w:tblPr>
        <w:tblStyle w:val="TableNormal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2173"/>
        <w:gridCol w:w="6131"/>
      </w:tblGrid>
      <w:tr w:rsidR="00195F89">
        <w:trPr>
          <w:trHeight w:hRule="exact" w:val="57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89"/>
              <w:ind w:left="11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89"/>
              <w:ind w:left="11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细则</w:t>
            </w:r>
          </w:p>
        </w:tc>
      </w:tr>
      <w:tr w:rsidR="00195F89">
        <w:trPr>
          <w:trHeight w:hRule="exact" w:val="569"/>
        </w:trPr>
        <w:tc>
          <w:tcPr>
            <w:tcW w:w="8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195F89" w:rsidRDefault="005322E0">
            <w:pPr>
              <w:pStyle w:val="TableParagraph"/>
              <w:spacing w:before="87"/>
              <w:ind w:left="2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过程与方法</w:t>
            </w:r>
          </w:p>
        </w:tc>
      </w:tr>
      <w:tr w:rsidR="00195F89">
        <w:trPr>
          <w:trHeight w:hRule="exact" w:val="2273"/>
        </w:trPr>
        <w:tc>
          <w:tcPr>
            <w:tcW w:w="21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357" w:lineRule="auto"/>
              <w:ind w:left="124" w:right="98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充分利用学习资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源、合理安排学习内容，学习活动能支持学生的互动和参与，体现主动学习，达成既定的学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习目标。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43" w:line="273" w:lineRule="auto"/>
              <w:ind w:left="134" w:right="86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3.1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合理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安排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课内、课外教学活动，学生学习负担适度，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  <w:lang w:eastAsia="zh-CN"/>
              </w:rPr>
              <w:t>有证据证明有效开展了线上与线下密切衔接的全过程教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学活动。本科课程加强研究型、项目型学习，注重培养学生解决问题、思辨等高阶思维能力；高职课程加强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项目教学法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和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教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学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做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一体化的工学结合教学，注重培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养能工巧匠、大国工匠。</w:t>
            </w:r>
          </w:p>
        </w:tc>
      </w:tr>
      <w:tr w:rsidR="00195F89">
        <w:trPr>
          <w:trHeight w:hRule="exact" w:val="968"/>
        </w:trPr>
        <w:tc>
          <w:tcPr>
            <w:tcW w:w="21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lang w:eastAsia="zh-CN"/>
              </w:rPr>
            </w:pP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108" w:line="276" w:lineRule="auto"/>
              <w:ind w:left="124" w:right="9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3.2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运用适当的数字化教学资源和工具，创新混合式教学的方式方法，能进一步凝练形成混合式教学模式。</w:t>
            </w:r>
          </w:p>
        </w:tc>
      </w:tr>
      <w:tr w:rsidR="00195F89">
        <w:trPr>
          <w:trHeight w:hRule="exact" w:val="1082"/>
        </w:trPr>
        <w:tc>
          <w:tcPr>
            <w:tcW w:w="21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lang w:eastAsia="zh-CN"/>
              </w:rPr>
            </w:pP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273" w:lineRule="auto"/>
              <w:ind w:left="124" w:right="98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3.3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有证据显示多途径提供及时的学习活动支持，如学习引导、答疑互动等，增进师生互动、生生互动、人机互动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  <w:t>等。</w:t>
            </w:r>
          </w:p>
        </w:tc>
      </w:tr>
      <w:tr w:rsidR="00195F89">
        <w:trPr>
          <w:trHeight w:hRule="exact" w:val="516"/>
        </w:trPr>
        <w:tc>
          <w:tcPr>
            <w:tcW w:w="8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195F89" w:rsidRDefault="005322E0">
            <w:pPr>
              <w:pStyle w:val="TableParagraph"/>
              <w:spacing w:before="63"/>
              <w:ind w:left="2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4.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评价与反馈</w:t>
            </w:r>
          </w:p>
        </w:tc>
      </w:tr>
      <w:tr w:rsidR="00195F89">
        <w:trPr>
          <w:trHeight w:hRule="exact" w:val="1474"/>
        </w:trPr>
        <w:tc>
          <w:tcPr>
            <w:tcW w:w="21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171" w:line="357" w:lineRule="auto"/>
              <w:ind w:left="124" w:right="9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形式多样、循序渐进，充分体现过程性评价，为教师跟踪学生学习进展提</w:t>
            </w:r>
            <w:r>
              <w:rPr>
                <w:rFonts w:ascii="仿宋" w:eastAsia="仿宋" w:hAnsi="仿宋" w:cs="仿宋"/>
                <w:spacing w:val="3"/>
                <w:sz w:val="24"/>
                <w:szCs w:val="24"/>
                <w:lang w:eastAsia="zh-CN"/>
              </w:rPr>
              <w:t>供支持，注重使用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数据或材料证明混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合式教学效果。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19" w:line="273" w:lineRule="auto"/>
              <w:ind w:left="119" w:right="85" w:firstLine="1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4.1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评价方式多元，评价手段契合教学目标，强化促进教学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目标达成的探究式、论文式、报告答辩式等作业评价方式，加强非标准化、综合性等评价。评价严格，具有</w:t>
            </w:r>
            <w:r>
              <w:rPr>
                <w:rFonts w:ascii="仿宋" w:eastAsia="仿宋" w:hAnsi="仿宋" w:cs="仿宋" w:hint="eastAsia"/>
                <w:spacing w:val="-22"/>
                <w:sz w:val="24"/>
                <w:szCs w:val="24"/>
                <w:lang w:eastAsia="zh-CN"/>
              </w:rPr>
              <w:t>科学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合理的学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习评价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  <w:lang w:eastAsia="zh-CN"/>
              </w:rPr>
              <w:t>方法和标准，对提高学生学习成效有明显促进作用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。</w:t>
            </w:r>
          </w:p>
        </w:tc>
      </w:tr>
      <w:tr w:rsidR="00195F89">
        <w:trPr>
          <w:trHeight w:hRule="exact" w:val="1251"/>
        </w:trPr>
        <w:tc>
          <w:tcPr>
            <w:tcW w:w="21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lang w:eastAsia="zh-CN"/>
              </w:rPr>
            </w:pP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89" w:line="273" w:lineRule="auto"/>
              <w:ind w:left="119" w:right="86" w:firstLine="1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4.2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线上、线下学习评价连贯完整，系统收集过程性和结果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性数据，开展基于数据的教学诊断、教学反思和教学改进，过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程可回溯，反馈及时，有效解决了教改重点问题。</w:t>
            </w:r>
          </w:p>
        </w:tc>
      </w:tr>
      <w:tr w:rsidR="00195F89">
        <w:trPr>
          <w:trHeight w:hRule="exact" w:val="1253"/>
        </w:trPr>
        <w:tc>
          <w:tcPr>
            <w:tcW w:w="21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lang w:eastAsia="zh-CN"/>
              </w:rPr>
            </w:pP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89" w:line="273" w:lineRule="auto"/>
              <w:ind w:left="119" w:right="86" w:firstLine="1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4.3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有效达成教学目标，学生的专业认同感、课程参与度、学习获得感、数字化学习能力、课程及教师教学满意度等方面产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生了良好的效果，并提供科学合理的佐证。</w:t>
            </w:r>
          </w:p>
        </w:tc>
      </w:tr>
      <w:tr w:rsidR="00195F89">
        <w:trPr>
          <w:trHeight w:hRule="exact" w:val="487"/>
        </w:trPr>
        <w:tc>
          <w:tcPr>
            <w:tcW w:w="8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195F89" w:rsidRDefault="005322E0">
            <w:pPr>
              <w:pStyle w:val="TableParagraph"/>
              <w:spacing w:before="46"/>
              <w:ind w:left="23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5.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特色创新与影响力</w:t>
            </w:r>
          </w:p>
        </w:tc>
      </w:tr>
      <w:tr w:rsidR="00195F89">
        <w:trPr>
          <w:trHeight w:hRule="exact" w:val="1195"/>
        </w:trPr>
        <w:tc>
          <w:tcPr>
            <w:tcW w:w="21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line="357" w:lineRule="auto"/>
              <w:ind w:left="124" w:right="98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课程设计新颖独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特，有较大的借鉴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和推广价值。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60" w:line="273" w:lineRule="auto"/>
              <w:ind w:left="119" w:right="85" w:firstLine="1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5.1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在价值塑造、知识传授、能力培养等方面一体化设计，能够充分体现课程的育人理念和特点，富有科学性、思想性、时</w:t>
            </w:r>
            <w:r>
              <w:rPr>
                <w:rFonts w:ascii="仿宋" w:eastAsia="仿宋" w:hAnsi="仿宋" w:cs="仿宋"/>
                <w:spacing w:val="-15"/>
                <w:sz w:val="24"/>
                <w:szCs w:val="24"/>
                <w:lang w:eastAsia="zh-CN"/>
              </w:rPr>
              <w:t>代性，专业特色</w:t>
            </w:r>
            <w:r>
              <w:rPr>
                <w:rFonts w:ascii="仿宋" w:eastAsia="仿宋" w:hAnsi="仿宋" w:cs="仿宋" w:hint="eastAsia"/>
                <w:spacing w:val="-15"/>
                <w:sz w:val="24"/>
                <w:szCs w:val="24"/>
                <w:lang w:eastAsia="zh-CN"/>
              </w:rPr>
              <w:t>鲜明</w:t>
            </w:r>
            <w:r>
              <w:rPr>
                <w:rFonts w:ascii="仿宋" w:eastAsia="仿宋" w:hAnsi="仿宋" w:cs="仿宋"/>
                <w:spacing w:val="-15"/>
                <w:sz w:val="24"/>
                <w:szCs w:val="24"/>
                <w:lang w:eastAsia="zh-CN"/>
              </w:rPr>
              <w:t>。</w:t>
            </w:r>
          </w:p>
        </w:tc>
      </w:tr>
      <w:tr w:rsidR="00195F89">
        <w:trPr>
          <w:trHeight w:hRule="exact" w:val="1196"/>
        </w:trPr>
        <w:tc>
          <w:tcPr>
            <w:tcW w:w="217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lang w:eastAsia="zh-CN"/>
              </w:rPr>
            </w:pP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61" w:line="273" w:lineRule="auto"/>
              <w:ind w:left="119" w:right="85" w:firstLine="1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5.2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在学情与目标、内容与资源、过程与方法、评价与反馈等方面提出了具体举措，具有一定的针对性和可操作性，做法和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成效独特创新。</w:t>
            </w:r>
          </w:p>
        </w:tc>
      </w:tr>
      <w:tr w:rsidR="00195F89">
        <w:trPr>
          <w:trHeight w:hRule="exact" w:val="799"/>
        </w:trPr>
        <w:tc>
          <w:tcPr>
            <w:tcW w:w="21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195F89">
            <w:pPr>
              <w:rPr>
                <w:lang w:eastAsia="zh-CN"/>
              </w:rPr>
            </w:pP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5F89" w:rsidRDefault="005322E0">
            <w:pPr>
              <w:pStyle w:val="TableParagraph"/>
              <w:spacing w:before="43" w:line="271" w:lineRule="auto"/>
              <w:ind w:left="119" w:right="85" w:firstLine="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5.3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具有一定程度的示范辐射与推广价值，为其他教师开展课程教学改革与创新，提供理论参考和实践借鉴。</w:t>
            </w:r>
          </w:p>
        </w:tc>
      </w:tr>
    </w:tbl>
    <w:p w:rsidR="00195F89" w:rsidRDefault="00195F89">
      <w:pPr>
        <w:spacing w:line="276" w:lineRule="exact"/>
        <w:ind w:left="120"/>
        <w:rPr>
          <w:rFonts w:ascii="宋体" w:eastAsia="宋体" w:hAnsi="宋体" w:cs="宋体"/>
          <w:sz w:val="24"/>
          <w:szCs w:val="24"/>
          <w:lang w:eastAsia="zh-CN"/>
        </w:rPr>
      </w:pPr>
    </w:p>
    <w:sectPr w:rsidR="00195F89"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E0" w:rsidRDefault="005322E0">
      <w:r>
        <w:separator/>
      </w:r>
    </w:p>
  </w:endnote>
  <w:endnote w:type="continuationSeparator" w:id="0">
    <w:p w:rsidR="005322E0" w:rsidRDefault="0053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206451"/>
      <w:docPartObj>
        <w:docPartGallery w:val="AutoText"/>
      </w:docPartObj>
    </w:sdtPr>
    <w:sdtEndPr/>
    <w:sdtContent>
      <w:p w:rsidR="00195F89" w:rsidRDefault="005322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AA3" w:rsidRPr="00FB1AA3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195F89" w:rsidRDefault="00195F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E0" w:rsidRDefault="005322E0">
      <w:r>
        <w:separator/>
      </w:r>
    </w:p>
  </w:footnote>
  <w:footnote w:type="continuationSeparator" w:id="0">
    <w:p w:rsidR="005322E0" w:rsidRDefault="00532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docVars>
    <w:docVar w:name="commondata" w:val="eyJoZGlkIjoiMTIzNWQzMjJhOTJhYjJmN2Q0MjlhOTZjZDFmYTRjNDcifQ=="/>
  </w:docVars>
  <w:rsids>
    <w:rsidRoot w:val="00522AB1"/>
    <w:rsid w:val="00195F89"/>
    <w:rsid w:val="003F3E4D"/>
    <w:rsid w:val="00462EE2"/>
    <w:rsid w:val="00522AB1"/>
    <w:rsid w:val="005322E0"/>
    <w:rsid w:val="006908E0"/>
    <w:rsid w:val="00820970"/>
    <w:rsid w:val="009D6AB0"/>
    <w:rsid w:val="00A06D54"/>
    <w:rsid w:val="00B75E70"/>
    <w:rsid w:val="00BD35C6"/>
    <w:rsid w:val="00FB1AA3"/>
    <w:rsid w:val="6021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D9079-AD53-41C5-87CC-CB329D28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spacing w:before="139"/>
      <w:ind w:left="312"/>
    </w:pPr>
    <w:rPr>
      <w:rFonts w:ascii="黑体" w:eastAsia="黑体" w:hAnsi="黑体"/>
      <w:sz w:val="36"/>
      <w:szCs w:val="36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.cnki.net/kns8/Detail?sfield=fn&amp;amp;QueryID=5&amp;amp;CurRec=37&amp;amp;recid&amp;amp;FileName=XDZJ202309016&amp;amp;DbName=CJFDAUTN&amp;amp;DbCode=CJFD&amp;amp;yx&amp;amp;pr=CJFR2023%3B&amp;amp;URL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刘璐璐</cp:lastModifiedBy>
  <cp:revision>8</cp:revision>
  <dcterms:created xsi:type="dcterms:W3CDTF">2023-06-15T04:32:00Z</dcterms:created>
  <dcterms:modified xsi:type="dcterms:W3CDTF">2024-06-17T07:59:00Z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7FF4D24308E24A15891F45C555B29AB9_12</vt:lpwstr>
  </property>
</Properties>
</file>